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411" w:tblpY="1938"/>
        <w:tblOverlap w:val="never"/>
        <w:tblW w:w="11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117"/>
        <w:gridCol w:w="1117"/>
        <w:gridCol w:w="1714"/>
        <w:gridCol w:w="6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产品编码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类型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  <w:t>固含量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推荐用途</w:t>
            </w:r>
          </w:p>
        </w:tc>
        <w:tc>
          <w:tcPr>
            <w:tcW w:w="6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产品特点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AP123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脂肪族聚氨酯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49-51%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印花</w:t>
            </w:r>
          </w:p>
        </w:tc>
        <w:tc>
          <w:tcPr>
            <w:tcW w:w="6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kern w:val="0"/>
                <w:sz w:val="18"/>
                <w:szCs w:val="18"/>
                <w:lang w:val="en-US" w:eastAsia="zh-CN" w:bidi="ar"/>
              </w:rPr>
              <w:t>高伸长率（大于1000%），高固含，耐黄变性好，水洗牢度好，耐超低温。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A299B"/>
    <w:rsid w:val="249A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2019-03-06T05:56:00Z</dcterms:created>
  <dc:creator>Administrator</dc:creator>
  <cp:lastModifiedBy>Administrator</cp:lastModifiedBy>
  <dcterms:modified xsi:type="dcterms:W3CDTF">2019-03-06T05:57:35Z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