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Style w:val="4"/>
          <w:rFonts w:hint="eastAsia" w:ascii="宋体" w:hAnsi="宋体" w:eastAsia="宋体" w:cs="宋体"/>
          <w:b/>
          <w:i w:val="0"/>
          <w:caps w:val="0"/>
          <w:color w:val="555555"/>
          <w:spacing w:val="0"/>
          <w:sz w:val="54"/>
          <w:szCs w:val="54"/>
        </w:rPr>
      </w:pPr>
      <w:bookmarkStart w:id="0" w:name="_GoBack"/>
      <w:r>
        <w:rPr>
          <w:rStyle w:val="4"/>
          <w:rFonts w:hint="eastAsia" w:ascii="宋体" w:hAnsi="宋体" w:eastAsia="宋体" w:cs="宋体"/>
          <w:b/>
          <w:i w:val="0"/>
          <w:caps w:val="0"/>
          <w:color w:val="555555"/>
          <w:spacing w:val="0"/>
          <w:sz w:val="54"/>
          <w:szCs w:val="54"/>
        </w:rPr>
        <w:t>G-900水性固化剂</w:t>
      </w:r>
    </w:p>
    <w:bookmarkEnd w:id="0"/>
    <w:p>
      <w:pPr>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G-900是基于六亚甲基二异氰酸酯（HDI）的亲水性脂肪族聚异氰酸酯，由于具有适中的亲水性和高官能度之间的平衡，使用G-800制备而成的水性双 组分聚氨酯、丙烯酸涂料具有快干、丰满度好、硬化快速的特点，形成的膜则具有最终硬度高和极佳的耐化学品性特点。</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产品特性：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相容性好：在人手慢速搅拌的情况下，可直接添加使用，无任何不良影响。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活化期长：活化期受聚合物含量和其它组分（如树脂、增稠剂、增塑剂等）的影响。在许多分散体中，活化期（通常为几小时）的终点没有显示为凝胶现象。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优秀的硬度、韧性和丰满度。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优异的耐水耐化学性能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附着力特强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典型物理规格：</w:t>
      </w:r>
    </w:p>
    <w:tbl>
      <w:tblPr>
        <w:tblStyle w:val="5"/>
        <w:tblW w:w="45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920"/>
        <w:gridCol w:w="26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9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主要成份</w:t>
            </w:r>
          </w:p>
        </w:tc>
        <w:tc>
          <w:tcPr>
            <w:tcW w:w="26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亲水性脂肪族聚异氰酸酯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9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外观</w:t>
            </w:r>
          </w:p>
        </w:tc>
        <w:tc>
          <w:tcPr>
            <w:tcW w:w="26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无色至浅黄色透明液体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9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固含量</w:t>
            </w:r>
          </w:p>
        </w:tc>
        <w:tc>
          <w:tcPr>
            <w:tcW w:w="26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90±2%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50" w:hRule="atLeast"/>
        </w:trPr>
        <w:tc>
          <w:tcPr>
            <w:tcW w:w="19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粘度</w:t>
            </w:r>
          </w:p>
        </w:tc>
        <w:tc>
          <w:tcPr>
            <w:tcW w:w="26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&lt;3000cps/25℃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9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NCO含量</w:t>
            </w:r>
          </w:p>
        </w:tc>
        <w:tc>
          <w:tcPr>
            <w:tcW w:w="26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15-17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20" w:hRule="atLeast"/>
        </w:trPr>
        <w:tc>
          <w:tcPr>
            <w:tcW w:w="19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游离单体含量</w:t>
            </w:r>
          </w:p>
        </w:tc>
        <w:tc>
          <w:tcPr>
            <w:tcW w:w="26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&lt;0.3%（按重量计）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435" w:hRule="atLeast"/>
        </w:trPr>
        <w:tc>
          <w:tcPr>
            <w:tcW w:w="19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溶剂</w:t>
            </w:r>
          </w:p>
        </w:tc>
        <w:tc>
          <w:tcPr>
            <w:tcW w:w="265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ind w:left="0" w:right="0"/>
              <w:jc w:val="left"/>
              <w:rPr>
                <w:rFonts w:hint="eastAsia" w:ascii="宋体" w:hAnsi="宋体" w:eastAsia="宋体" w:cs="宋体"/>
              </w:rPr>
            </w:pPr>
            <w:r>
              <w:rPr>
                <w:rFonts w:hint="eastAsia" w:ascii="宋体" w:hAnsi="宋体" w:eastAsia="宋体" w:cs="宋体"/>
                <w:b/>
                <w:i w:val="0"/>
                <w:caps w:val="0"/>
                <w:color w:val="555555"/>
                <w:spacing w:val="0"/>
                <w:sz w:val="24"/>
                <w:szCs w:val="24"/>
              </w:rPr>
              <w:t>BAC/150</w:t>
            </w:r>
          </w:p>
        </w:tc>
      </w:tr>
    </w:tbl>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应用推荐：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r>
        <w:rPr>
          <w:rFonts w:hint="eastAsia" w:ascii="宋体" w:hAnsi="宋体" w:eastAsia="宋体" w:cs="宋体"/>
          <w:b/>
          <w:i w:val="0"/>
          <w:caps w:val="0"/>
          <w:color w:val="555555"/>
          <w:spacing w:val="0"/>
          <w:sz w:val="24"/>
          <w:szCs w:val="24"/>
        </w:rPr>
        <w:t>       可用作水性羟基树脂或多元醇的交联剂以及大部分中性的水性聚合物分散体（如聚氨酯、聚乙酸乙烯树脂、聚丙烯酸酯和合成橡胶分散体）的交联剂。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使用指引：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一般而言，该产品可与酯、醚酯、二甲苯和石脑油100号溶剂相容，溶剂不能用醇或醇醚等含羟基或胺基。而且对于每种溶剂均应测试其溶解性和相容性。仅可使用聚氨酯级的溶剂。水含量不得超过0.05%。建议不再添加溶剂直接用于水性双组份涂料体系。</w:t>
      </w:r>
    </w:p>
    <w:p>
      <w:pPr>
        <w:keepNext w:val="0"/>
        <w:keepLines w:val="0"/>
        <w:widowControl/>
        <w:suppressLineNumbers w:val="0"/>
        <w:jc w:val="left"/>
      </w:pPr>
      <w:r>
        <w:rPr>
          <w:rStyle w:val="4"/>
          <w:rFonts w:hint="eastAsia" w:ascii="宋体" w:hAnsi="宋体" w:eastAsia="宋体" w:cs="宋体"/>
          <w:b/>
          <w:i w:val="0"/>
          <w:caps w:val="0"/>
          <w:color w:val="555555"/>
          <w:spacing w:val="0"/>
          <w:kern w:val="0"/>
          <w:sz w:val="27"/>
          <w:szCs w:val="27"/>
          <w:lang w:val="en-US" w:eastAsia="zh-CN" w:bidi="ar"/>
        </w:rPr>
        <w:t>包装规格：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提供25Kg和60Kg两种规格（聚乙烯桶）。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555555"/>
          <w:spacing w:val="0"/>
          <w:sz w:val="27"/>
          <w:szCs w:val="27"/>
        </w:rPr>
        <w:t>贮存要求：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该产品对于湿气十分敏感，因此必须储存于密封容器中，开封后，尽量快用完。贮存环境温度应在15℃-35℃，不能在太阳光直照条件下贮存，本品可在六个月内使用。六个月后，检验合格仍可使用。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安全声明：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本品含有微量刺激性物质，如粘附在手中用水清洗。如溅入眼睛内，我们建议用大量清水冲洗后并即到医院进行详细检查，以确保安全。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Style w:val="4"/>
          <w:rFonts w:hint="eastAsia" w:ascii="宋体" w:hAnsi="宋体" w:eastAsia="宋体" w:cs="宋体"/>
          <w:b/>
          <w:i w:val="0"/>
          <w:caps w:val="0"/>
          <w:color w:val="FF0000"/>
          <w:spacing w:val="0"/>
          <w:sz w:val="27"/>
          <w:szCs w:val="27"/>
        </w:rPr>
        <w:t>免责声明：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i w:val="0"/>
          <w:caps w:val="0"/>
          <w:color w:val="555555"/>
          <w:spacing w:val="0"/>
          <w:sz w:val="18"/>
          <w:szCs w:val="18"/>
        </w:rPr>
      </w:pPr>
      <w:r>
        <w:rPr>
          <w:rFonts w:hint="eastAsia" w:ascii="宋体" w:hAnsi="宋体" w:eastAsia="宋体" w:cs="宋体"/>
          <w:b/>
          <w:i w:val="0"/>
          <w:caps w:val="0"/>
          <w:color w:val="555555"/>
          <w:spacing w:val="0"/>
          <w:sz w:val="24"/>
          <w:szCs w:val="24"/>
        </w:rPr>
        <w:t>       以上数据和建议是以我们认为可靠的信息为基础，我们真诚提供以上数据，但不能保证其作为我们控制范围的条件和方法来使用我们的产品，我们建议客户在选用我们的产品和采纳我们的建议前确定它们的适用性。</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47122D"/>
    <w:rsid w:val="4D4712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2019-03-06T06:06:00Z</dcterms:created>
  <dc:creator>Administrator</dc:creator>
  <cp:lastModifiedBy>Administrator</cp:lastModifiedBy>
  <dcterms:modified xsi:type="dcterms:W3CDTF">2019-03-06T06:07:10Z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