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555555"/>
          <w:spacing w:val="0"/>
          <w:sz w:val="52"/>
          <w:szCs w:val="52"/>
        </w:rPr>
      </w:pPr>
      <w:r>
        <w:rPr>
          <w:rStyle w:val="5"/>
          <w:rFonts w:hint="eastAsia" w:ascii="宋体" w:hAnsi="宋体" w:eastAsia="宋体" w:cs="宋体"/>
          <w:b/>
          <w:i w:val="0"/>
          <w:caps w:val="0"/>
          <w:color w:val="555555"/>
          <w:spacing w:val="0"/>
          <w:sz w:val="52"/>
          <w:szCs w:val="52"/>
        </w:rPr>
        <w:t>G-1000 Water-borne Curing Agent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Hydrophilic aliphatic polyisocyanate based on hexamethylene diisocyanate (HDI). Because of the balance between moderate hydrophilicity and high functionality, waterborne two-component polyurethane and acrylic coatings prepared by G-800 have the characteristics of fast drying, good fullness and fast hardening. The film formed has the characteristics of high final hardness and excellent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Good compatibility: In the case of manual slow stirring, it can be directly added and used without any adverse effects.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Long activation period: The activation period is affected by polymer content and other components (such as resins, thickeners, plasticizers, etc.). In many dispersions, the end point of activation (usually a few hours) does not show gelation.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firstLine="420" w:firstLineChars="0"/>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Excellent hardness, toughness and fullness.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firstLine="420" w:firstLineChars="0"/>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Excellent water and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firstLine="420" w:firstLineChars="0"/>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Excellent adhesion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宋体" w:hAnsi="宋体" w:eastAsia="宋体" w:cs="宋体"/>
          <w:b/>
          <w:sz w:val="27"/>
          <w:szCs w:val="27"/>
        </w:rPr>
      </w:pPr>
      <w:r>
        <w:rPr>
          <w:rStyle w:val="5"/>
          <w:rFonts w:hint="eastAsia" w:ascii="宋体" w:hAnsi="宋体" w:eastAsia="宋体" w:cs="宋体"/>
          <w:b/>
          <w:sz w:val="27"/>
          <w:szCs w:val="27"/>
        </w:rPr>
        <w:t>Typical physical specifications:</w:t>
      </w:r>
    </w:p>
    <w:tbl>
      <w:tblPr>
        <w:tblStyle w:val="3"/>
        <w:tblW w:w="8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77"/>
        <w:gridCol w:w="4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6" w:hRule="atLeast"/>
        </w:trPr>
        <w:tc>
          <w:tcPr>
            <w:tcW w:w="337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宋体" w:hAnsi="宋体" w:eastAsia="宋体" w:cs="宋体"/>
              </w:rPr>
            </w:pPr>
            <w:r>
              <w:rPr>
                <w:rFonts w:hint="eastAsia" w:ascii="宋体" w:hAnsi="宋体" w:eastAsia="宋体" w:cs="宋体"/>
                <w:b/>
                <w:i w:val="0"/>
                <w:caps w:val="0"/>
                <w:color w:val="555555"/>
                <w:spacing w:val="0"/>
                <w:kern w:val="0"/>
                <w:sz w:val="24"/>
                <w:szCs w:val="24"/>
                <w:lang w:val="en-US" w:eastAsia="zh-CN" w:bidi="ar"/>
              </w:rPr>
              <w:t>Main ingredients</w:t>
            </w:r>
          </w:p>
        </w:tc>
        <w:tc>
          <w:tcPr>
            <w:tcW w:w="472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rPr>
              <w:t>Hydrophilic aliphatic polyisocyanate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trPr>
        <w:tc>
          <w:tcPr>
            <w:tcW w:w="337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宋体" w:hAnsi="宋体" w:eastAsia="宋体" w:cs="宋体"/>
              </w:rPr>
            </w:pPr>
            <w:r>
              <w:rPr>
                <w:rFonts w:hint="eastAsia" w:ascii="宋体" w:hAnsi="宋体" w:eastAsia="宋体" w:cs="宋体"/>
                <w:b/>
                <w:i w:val="0"/>
                <w:caps w:val="0"/>
                <w:color w:val="555555"/>
                <w:spacing w:val="0"/>
                <w:sz w:val="24"/>
                <w:szCs w:val="24"/>
              </w:rPr>
              <w:t>Appearance</w:t>
            </w:r>
          </w:p>
        </w:tc>
        <w:tc>
          <w:tcPr>
            <w:tcW w:w="472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rPr>
              <w:t>Colorless to yellowish transparent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trPr>
        <w:tc>
          <w:tcPr>
            <w:tcW w:w="337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宋体" w:hAnsi="宋体" w:eastAsia="宋体" w:cs="宋体"/>
              </w:rPr>
            </w:pPr>
            <w:r>
              <w:rPr>
                <w:rFonts w:hint="eastAsia" w:ascii="宋体" w:hAnsi="宋体" w:eastAsia="宋体" w:cs="宋体"/>
                <w:b/>
                <w:i w:val="0"/>
                <w:caps w:val="0"/>
                <w:color w:val="555555"/>
                <w:spacing w:val="0"/>
                <w:sz w:val="24"/>
                <w:szCs w:val="24"/>
              </w:rPr>
              <w:t>Solid content</w:t>
            </w:r>
          </w:p>
        </w:tc>
        <w:tc>
          <w:tcPr>
            <w:tcW w:w="472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left"/>
              <w:rPr>
                <w:rFonts w:hint="eastAsia" w:ascii="宋体" w:hAnsi="宋体" w:eastAsia="宋体" w:cs="宋体"/>
              </w:rPr>
            </w:pPr>
            <w:r>
              <w:rPr>
                <w:rFonts w:hint="eastAsia"/>
              </w:rPr>
              <w:t>More than 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trPr>
        <w:tc>
          <w:tcPr>
            <w:tcW w:w="3377" w:type="dxa"/>
            <w:tcBorders>
              <w:top w:val="single" w:color="auto" w:sz="6"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宋体" w:hAnsi="宋体" w:eastAsia="宋体" w:cs="宋体"/>
              </w:rPr>
            </w:pPr>
            <w:r>
              <w:rPr>
                <w:rFonts w:hint="eastAsia" w:ascii="宋体" w:hAnsi="宋体" w:eastAsia="宋体" w:cs="宋体"/>
                <w:b/>
                <w:i w:val="0"/>
                <w:caps w:val="0"/>
                <w:color w:val="555555"/>
                <w:spacing w:val="0"/>
                <w:sz w:val="24"/>
                <w:szCs w:val="24"/>
                <w:lang w:val="en-US" w:eastAsia="zh-CN"/>
              </w:rPr>
              <w:t>V</w:t>
            </w:r>
            <w:r>
              <w:rPr>
                <w:rFonts w:hint="eastAsia" w:ascii="宋体" w:hAnsi="宋体" w:eastAsia="宋体" w:cs="宋体"/>
                <w:b/>
                <w:i w:val="0"/>
                <w:caps w:val="0"/>
                <w:color w:val="555555"/>
                <w:spacing w:val="0"/>
                <w:sz w:val="24"/>
                <w:szCs w:val="24"/>
              </w:rPr>
              <w:t>iscosity</w:t>
            </w:r>
          </w:p>
        </w:tc>
        <w:tc>
          <w:tcPr>
            <w:tcW w:w="4723" w:type="dxa"/>
            <w:tcBorders>
              <w:top w:val="single" w:color="auto" w:sz="6"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rPr>
              <w:t>&lt;10 000 cps/25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337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宋体" w:hAnsi="宋体" w:eastAsia="宋体" w:cs="宋体"/>
              </w:rPr>
            </w:pPr>
            <w:r>
              <w:rPr>
                <w:rFonts w:hint="eastAsia" w:ascii="宋体" w:hAnsi="宋体" w:eastAsia="宋体" w:cs="宋体"/>
                <w:b/>
                <w:i w:val="0"/>
                <w:caps w:val="0"/>
                <w:color w:val="555555"/>
                <w:spacing w:val="0"/>
                <w:sz w:val="24"/>
                <w:szCs w:val="24"/>
              </w:rPr>
              <w:t>NCO content</w:t>
            </w:r>
          </w:p>
        </w:tc>
        <w:tc>
          <w:tcPr>
            <w:tcW w:w="472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rPr>
              <w:t>17-19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337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宋体" w:hAnsi="宋体" w:eastAsia="宋体" w:cs="宋体"/>
              </w:rPr>
            </w:pPr>
            <w:r>
              <w:rPr>
                <w:rFonts w:hint="eastAsia" w:ascii="宋体" w:hAnsi="宋体" w:eastAsia="宋体" w:cs="宋体"/>
                <w:b/>
                <w:i w:val="0"/>
                <w:caps w:val="0"/>
                <w:color w:val="555555"/>
                <w:spacing w:val="0"/>
                <w:sz w:val="24"/>
                <w:szCs w:val="24"/>
              </w:rPr>
              <w:t>Free monomer content</w:t>
            </w:r>
          </w:p>
        </w:tc>
        <w:tc>
          <w:tcPr>
            <w:tcW w:w="472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rPr>
              <w:t>&lt; 0.3% (by weight)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9" w:hRule="atLeast"/>
        </w:trPr>
        <w:tc>
          <w:tcPr>
            <w:tcW w:w="337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宋体" w:hAnsi="宋体" w:eastAsia="宋体" w:cs="宋体"/>
              </w:rPr>
            </w:pPr>
            <w:r>
              <w:rPr>
                <w:rFonts w:hint="eastAsia" w:ascii="宋体" w:hAnsi="宋体" w:eastAsia="宋体" w:cs="宋体"/>
                <w:b/>
                <w:i w:val="0"/>
                <w:caps w:val="0"/>
                <w:color w:val="555555"/>
                <w:spacing w:val="0"/>
                <w:sz w:val="24"/>
                <w:szCs w:val="24"/>
                <w:lang w:val="en-US" w:eastAsia="zh-CN"/>
              </w:rPr>
              <w:t>S</w:t>
            </w:r>
            <w:r>
              <w:rPr>
                <w:rFonts w:hint="eastAsia" w:ascii="宋体" w:hAnsi="宋体" w:eastAsia="宋体" w:cs="宋体"/>
                <w:b/>
                <w:i w:val="0"/>
                <w:caps w:val="0"/>
                <w:color w:val="555555"/>
                <w:spacing w:val="0"/>
                <w:sz w:val="24"/>
                <w:szCs w:val="24"/>
              </w:rPr>
              <w:t>olvent</w:t>
            </w:r>
          </w:p>
        </w:tc>
        <w:tc>
          <w:tcPr>
            <w:tcW w:w="472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bl>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It can be used as crosslinking agent for water-borne hydroxyl resin or polyol and most neutral water-borne polymer dispersions such as polyurethane, polyvinyl acetate resin, polyacrylate and synthetic rubber dispersions.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18"/>
          <w:szCs w:val="18"/>
        </w:rPr>
      </w:pPr>
      <w:r>
        <w:rPr>
          <w:rStyle w:val="5"/>
          <w:rFonts w:hint="eastAsia" w:ascii="宋体" w:hAnsi="宋体" w:eastAsia="宋体" w:cs="宋体"/>
          <w:b/>
          <w:i w:val="0"/>
          <w:caps w:val="0"/>
          <w:color w:val="555555"/>
          <w:spacing w:val="0"/>
          <w:sz w:val="27"/>
          <w:szCs w:val="27"/>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Generally speaking, the product can be compatible with ester, ether ester, xylene and naphtha No. 100 solvent, solvent can not use alcohol or alcohol ether containing hydroxyl or amino group. The solubility and compatibility of each solvent should be tested. Only polyurethane grade solvents can be used. Water content should not exceed 0.05%. It is suggested that the solvent should not be added to the water-borne two-component coating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Provide 25kg and 60kg specifications (polyethylene barrel).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The product is very sensitive to humidity, so it must be stored in sealed containers and used up as soon as possible after opening. Storage ambient temperature should be 15 - 35 C, can not be stored under direct sunlight conditions, this product can be used within six months. Six months later, it can still be used after passing the inspection.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This product contains trace irritant substances, such as adhering to the hands and washing with water. If it splashes into the eyes, we recommend to wash it with plenty of clean water and then go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1594F"/>
    <w:rsid w:val="12446D78"/>
    <w:rsid w:val="7DC1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2019-03-06T06:07:00Z</dcterms:created>
  <dc:creator>Administrator</dc:creator>
  <cp:lastModifiedBy>Administrator</cp:lastModifiedBy>
  <dcterms:modified xsi:type="dcterms:W3CDTF">2019-04-01T08:24:06Z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