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i w:val="0"/>
          <w:caps w:val="0"/>
          <w:color w:val="555555"/>
          <w:spacing w:val="0"/>
          <w:sz w:val="18"/>
          <w:szCs w:val="18"/>
        </w:rPr>
      </w:pPr>
      <w:r>
        <w:rPr>
          <w:rStyle w:val="5"/>
          <w:rFonts w:hint="eastAsia" w:ascii="宋体" w:hAnsi="宋体" w:eastAsia="宋体" w:cs="宋体"/>
          <w:b/>
          <w:i w:val="0"/>
          <w:caps w:val="0"/>
          <w:color w:val="555555"/>
          <w:spacing w:val="0"/>
          <w:sz w:val="54"/>
          <w:szCs w:val="54"/>
        </w:rPr>
        <w:t>G-800 Water-borne Curing Agent</w:t>
      </w:r>
    </w:p>
    <w:p>
      <w:pPr>
        <w:keepNext w:val="0"/>
        <w:keepLines w:val="0"/>
        <w:widowControl/>
        <w:suppressLineNumbers w:val="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G-800 is a hydrophilic aliphatic polyisocyanate based on hexamethylene diisocyanate (HDI). Because of the balance between moderate hydrophilicity and high functionality, waterborne two-component polyurethane and acrylic coatings prepared by G-800 have the characteristics of fast drying, good fullness and fast hardening. The film formed has the characteristics of the highest ultimate hardness and the best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Good compatibility: In the case of manual slow stirring, it can be directly added and used without any adverse effects.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Long activation period: The activation period is affected by polymer content and other components (such as resins, thickeners, plasticizers, etc.). In many dispersions, the end point of activation (usually a few hours) does not show gelation.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Excellent hardness, toughness and fullness.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Excellent water and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Fonts w:hint="eastAsia" w:ascii="宋体" w:hAnsi="宋体" w:eastAsia="宋体" w:cs="宋体"/>
          <w:b/>
          <w:i w:val="0"/>
          <w:caps w:val="0"/>
          <w:color w:val="555555"/>
          <w:spacing w:val="0"/>
          <w:sz w:val="24"/>
          <w:szCs w:val="24"/>
        </w:rPr>
        <w:t>      Excellent adhesion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lang w:eastAsia="zh-CN"/>
        </w:rPr>
      </w:pPr>
      <w:r>
        <w:rPr>
          <w:rStyle w:val="5"/>
          <w:rFonts w:hint="eastAsia" w:ascii="宋体" w:hAnsi="宋体" w:eastAsia="宋体" w:cs="宋体"/>
          <w:b/>
          <w:i w:val="0"/>
          <w:caps w:val="0"/>
          <w:color w:val="555555"/>
          <w:spacing w:val="0"/>
          <w:sz w:val="27"/>
          <w:szCs w:val="27"/>
          <w:lang w:eastAsia="zh-CN"/>
        </w:rPr>
        <w:t>Typical physical specifications:</w:t>
      </w:r>
    </w:p>
    <w:tbl>
      <w:tblPr>
        <w:tblStyle w:val="3"/>
        <w:tblW w:w="8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17"/>
        <w:gridCol w:w="5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7" w:hRule="atLeast"/>
        </w:trPr>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kern w:val="0"/>
                <w:sz w:val="24"/>
                <w:szCs w:val="24"/>
                <w:lang w:val="en-US" w:eastAsia="zh-CN" w:bidi="ar"/>
              </w:rPr>
              <w:t>Main ingredients</w:t>
            </w:r>
          </w:p>
        </w:tc>
        <w:tc>
          <w:tcPr>
            <w:tcW w:w="526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Hydrophilic aliphatic polyisocyanate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3" w:hRule="atLeast"/>
        </w:trPr>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Appearance</w:t>
            </w:r>
          </w:p>
        </w:tc>
        <w:tc>
          <w:tcPr>
            <w:tcW w:w="526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Colorless to yellowish transparent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3" w:hRule="atLeast"/>
        </w:trPr>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Solid content</w:t>
            </w:r>
          </w:p>
        </w:tc>
        <w:tc>
          <w:tcPr>
            <w:tcW w:w="526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3" w:hRule="atLeast"/>
        </w:trPr>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lang w:val="en-US" w:eastAsia="zh-CN"/>
              </w:rPr>
              <w:t>V</w:t>
            </w:r>
            <w:r>
              <w:rPr>
                <w:rFonts w:hint="eastAsia" w:ascii="宋体" w:hAnsi="宋体" w:eastAsia="宋体" w:cs="宋体"/>
                <w:b/>
                <w:i w:val="0"/>
                <w:caps w:val="0"/>
                <w:color w:val="555555"/>
                <w:spacing w:val="0"/>
                <w:sz w:val="24"/>
                <w:szCs w:val="24"/>
              </w:rPr>
              <w:t>iscosity</w:t>
            </w:r>
          </w:p>
        </w:tc>
        <w:tc>
          <w:tcPr>
            <w:tcW w:w="526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&lt;1000cps/25℃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9" w:hRule="atLeast"/>
        </w:trPr>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NCO content</w:t>
            </w:r>
          </w:p>
        </w:tc>
        <w:tc>
          <w:tcPr>
            <w:tcW w:w="526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Free monomer content</w:t>
            </w:r>
          </w:p>
        </w:tc>
        <w:tc>
          <w:tcPr>
            <w:tcW w:w="526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&lt;0.3%(by weight)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3" w:hRule="atLeast"/>
        </w:trPr>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lang w:val="en-US" w:eastAsia="zh-CN"/>
              </w:rPr>
              <w:t>S</w:t>
            </w:r>
            <w:r>
              <w:rPr>
                <w:rFonts w:hint="eastAsia" w:ascii="宋体" w:hAnsi="宋体" w:eastAsia="宋体" w:cs="宋体"/>
                <w:b/>
                <w:i w:val="0"/>
                <w:caps w:val="0"/>
                <w:color w:val="555555"/>
                <w:spacing w:val="0"/>
                <w:sz w:val="24"/>
                <w:szCs w:val="24"/>
              </w:rPr>
              <w:t>olvent</w:t>
            </w:r>
          </w:p>
        </w:tc>
        <w:tc>
          <w:tcPr>
            <w:tcW w:w="526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DMM/PMA</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It can be used as crosslinking agent for water-borne hydroxyl resins or polyols and for most of them.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Neutral Water-borne Polymer Dispersions (e.g. Polyurethane, Polyvinyl Acetate)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Fonts w:hint="eastAsia" w:ascii="宋体" w:hAnsi="宋体" w:eastAsia="宋体" w:cs="宋体"/>
          <w:b/>
          <w:i w:val="0"/>
          <w:caps w:val="0"/>
          <w:color w:val="555555"/>
          <w:spacing w:val="0"/>
          <w:sz w:val="24"/>
          <w:szCs w:val="24"/>
        </w:rPr>
        <w:t>Crosslinkers of resins, polyacrylates and synthetic rubber dispersions.</w:t>
      </w:r>
      <w:r>
        <w:rPr>
          <w:rStyle w:val="5"/>
          <w:rFonts w:hint="eastAsia" w:ascii="宋体" w:hAnsi="宋体" w:eastAsia="宋体" w:cs="宋体"/>
          <w:b/>
          <w:i w:val="0"/>
          <w:caps w:val="0"/>
          <w:color w:val="555555"/>
          <w:spacing w:val="0"/>
          <w:sz w:val="27"/>
          <w:szCs w:val="27"/>
        </w:rPr>
        <w:t>Use Guidelines:</w:t>
      </w:r>
    </w:p>
    <w:p>
      <w:pPr>
        <w:keepNext w:val="0"/>
        <w:keepLines w:val="0"/>
        <w:widowControl/>
        <w:suppressLineNumbers w:val="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Generally speaking, the product can be compatible with ester, ether ester, xylene and naphtha No. 100 solvent, solvent can not use alcohol or alcohol ether containing hydroxyl or amino group. The solubility and compatibility of each solvent should be tested. Only polyurethane grade solvents can be used. Water content should not exceed 0.05%. It is suggested that the solvent should not be added to the water-borne two-component coating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Fonts w:hint="eastAsia" w:ascii="宋体" w:hAnsi="宋体" w:eastAsia="宋体" w:cs="宋体"/>
          <w:b/>
          <w:i w:val="0"/>
          <w:caps w:val="0"/>
          <w:color w:val="555555"/>
          <w:spacing w:val="0"/>
          <w:sz w:val="24"/>
          <w:szCs w:val="24"/>
        </w:rPr>
        <w:t>      Provide 25kg and 60kg specifications (polyethylene barrel).</w:t>
      </w: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The product is very sensitive to humidity, so it must be stored in sealed containers and used up as soon as possible after opening. Storage ambient temperature should be 15 - 35 C, can not be stored under direct sunlight conditions, this product can be used within six months. Six months later, it can still be used after passing the inspection.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This product contains trace irritant substances, such as adhering to the hands and washing with water. If it splashes into the eyes, we recommend to wash it with plenty of clean water and then go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5"/>
          <w:rFonts w:hint="eastAsia" w:ascii="宋体" w:hAnsi="宋体" w:eastAsia="宋体" w:cs="宋体"/>
          <w:b/>
          <w:i w:val="0"/>
          <w:caps w:val="0"/>
          <w:color w:val="FF0000"/>
          <w:spacing w:val="0"/>
          <w:sz w:val="27"/>
          <w:szCs w:val="27"/>
        </w:rPr>
        <w:t>Disclaimer: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The above data and suggestions are based on what we believe to be reliable information. We sincerely provide the above data, but can not guarantee that it will be used as a condition and method of our control. We recommend that customers determine their applicability before choosing our products and adopting our suggestions.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47AB4"/>
    <w:rsid w:val="049F18DE"/>
    <w:rsid w:val="2EB47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2019-03-06T06:06:00Z</dcterms:created>
  <dc:creator>Administrator</dc:creator>
  <cp:lastModifiedBy>Administrator</cp:lastModifiedBy>
  <dcterms:modified xsi:type="dcterms:W3CDTF">2019-04-01T07:59:22Z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